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D59" w:rsidRDefault="004B4D59" w:rsidP="004B4D59">
      <w:pPr>
        <w:ind w:left="720"/>
        <w:jc w:val="both"/>
        <w:rPr>
          <w:rFonts w:ascii="Verdana" w:hAnsi="Verdana" w:cs="Arial"/>
          <w:bCs/>
          <w:sz w:val="20"/>
        </w:rPr>
      </w:pPr>
      <w:r>
        <w:rPr>
          <w:rFonts w:ascii="Verdana" w:hAnsi="Verdana" w:cs="Arial"/>
          <w:bCs/>
          <w:sz w:val="20"/>
        </w:rPr>
        <w:t>Voor de hoogte van de WDH-contributie vo</w:t>
      </w:r>
      <w:r>
        <w:rPr>
          <w:rFonts w:ascii="Verdana" w:hAnsi="Verdana" w:cs="Arial"/>
          <w:bCs/>
          <w:sz w:val="20"/>
        </w:rPr>
        <w:t>lgt hieronder de verantwoording</w:t>
      </w:r>
    </w:p>
    <w:p w:rsidR="004B4D59" w:rsidRDefault="004B4D59" w:rsidP="004B4D59">
      <w:pPr>
        <w:ind w:left="720"/>
        <w:jc w:val="both"/>
        <w:rPr>
          <w:rFonts w:ascii="Verdana" w:hAnsi="Verdana" w:cs="Arial"/>
          <w:bCs/>
          <w:sz w:val="20"/>
        </w:rPr>
      </w:pPr>
    </w:p>
    <w:p w:rsidR="004B4D59" w:rsidRPr="0003076E" w:rsidRDefault="004B4D59" w:rsidP="004B4D59">
      <w:pPr>
        <w:numPr>
          <w:ilvl w:val="0"/>
          <w:numId w:val="1"/>
        </w:numPr>
        <w:ind w:left="709" w:hanging="283"/>
        <w:jc w:val="both"/>
        <w:rPr>
          <w:rFonts w:ascii="Verdana" w:hAnsi="Verdana" w:cs="Arial"/>
          <w:b/>
          <w:bCs/>
          <w:sz w:val="20"/>
        </w:rPr>
      </w:pPr>
      <w:r w:rsidRPr="0003076E">
        <w:rPr>
          <w:rFonts w:ascii="Verdana" w:hAnsi="Verdana" w:cs="Arial"/>
          <w:b/>
          <w:bCs/>
          <w:sz w:val="20"/>
        </w:rPr>
        <w:t>Huur en salariskosten</w:t>
      </w:r>
    </w:p>
    <w:p w:rsidR="004B4D59" w:rsidRDefault="004B4D59" w:rsidP="004B4D59">
      <w:pPr>
        <w:ind w:left="709"/>
        <w:jc w:val="both"/>
        <w:rPr>
          <w:rFonts w:ascii="Verdana" w:hAnsi="Verdana" w:cs="Arial"/>
          <w:bCs/>
          <w:sz w:val="20"/>
        </w:rPr>
      </w:pPr>
      <w:r>
        <w:rPr>
          <w:rFonts w:ascii="Verdana" w:hAnsi="Verdana" w:cs="Arial"/>
          <w:bCs/>
          <w:sz w:val="20"/>
        </w:rPr>
        <w:t xml:space="preserve">Om te kunnen voldoen aan de landelijke eisen voor een regionaal kwaliteitsbeleid moeten we een gecertificeerd IA-bureau in de lucht houden. Naast de huur van een fysieke locatie (JBZ) zijn er uiteraard ook salariskosten voor drie medewerkers. </w:t>
      </w:r>
    </w:p>
    <w:p w:rsidR="004B4D59" w:rsidRPr="0003076E" w:rsidRDefault="004B4D59" w:rsidP="004B4D59">
      <w:pPr>
        <w:numPr>
          <w:ilvl w:val="0"/>
          <w:numId w:val="1"/>
        </w:numPr>
        <w:ind w:left="709" w:hanging="283"/>
        <w:jc w:val="both"/>
        <w:rPr>
          <w:rFonts w:ascii="Verdana" w:hAnsi="Verdana" w:cs="Arial"/>
          <w:b/>
          <w:bCs/>
          <w:sz w:val="20"/>
        </w:rPr>
      </w:pPr>
      <w:r w:rsidRPr="0003076E">
        <w:rPr>
          <w:rFonts w:ascii="Verdana" w:hAnsi="Verdana" w:cs="Arial"/>
          <w:b/>
          <w:bCs/>
          <w:sz w:val="20"/>
        </w:rPr>
        <w:t>Kosten betreffende het initiëren en uitvoeren van het kwaliteitsbeleid</w:t>
      </w:r>
    </w:p>
    <w:p w:rsidR="004B4D59" w:rsidRDefault="004B4D59" w:rsidP="004B4D59">
      <w:pPr>
        <w:ind w:left="709"/>
        <w:jc w:val="both"/>
        <w:rPr>
          <w:rFonts w:ascii="Verdana" w:hAnsi="Verdana" w:cs="Arial"/>
          <w:bCs/>
          <w:sz w:val="20"/>
        </w:rPr>
      </w:pPr>
      <w:r>
        <w:rPr>
          <w:rFonts w:ascii="Verdana" w:hAnsi="Verdana" w:cs="Arial"/>
          <w:bCs/>
          <w:sz w:val="20"/>
        </w:rPr>
        <w:t xml:space="preserve">De landelijke richtlijnen vervat in concept “Nota Zorg voor Kwaliteit volgens de toekomstvisie 2015-2022” vormen de basis voor de uit te voeren scholing. De kosten die hiervoor gemaakt moeten worden hebben betrekking op inkoop cursussen, docenten </w:t>
      </w:r>
      <w:proofErr w:type="gramStart"/>
      <w:r>
        <w:rPr>
          <w:rFonts w:ascii="Verdana" w:hAnsi="Verdana" w:cs="Arial"/>
          <w:bCs/>
          <w:sz w:val="20"/>
        </w:rPr>
        <w:t>alsmede</w:t>
      </w:r>
      <w:proofErr w:type="gramEnd"/>
      <w:r>
        <w:rPr>
          <w:rFonts w:ascii="Verdana" w:hAnsi="Verdana" w:cs="Arial"/>
          <w:bCs/>
          <w:sz w:val="20"/>
        </w:rPr>
        <w:t xml:space="preserve"> kosten van logistieke en coördinerende aard. </w:t>
      </w:r>
    </w:p>
    <w:p w:rsidR="004B4D59" w:rsidRPr="0003076E" w:rsidRDefault="004B4D59" w:rsidP="004B4D59">
      <w:pPr>
        <w:numPr>
          <w:ilvl w:val="0"/>
          <w:numId w:val="1"/>
        </w:numPr>
        <w:ind w:left="709" w:hanging="283"/>
        <w:jc w:val="both"/>
        <w:rPr>
          <w:rFonts w:ascii="Verdana" w:hAnsi="Verdana" w:cs="Arial"/>
          <w:b/>
          <w:bCs/>
          <w:sz w:val="20"/>
        </w:rPr>
      </w:pPr>
      <w:r w:rsidRPr="0003076E">
        <w:rPr>
          <w:rFonts w:ascii="Verdana" w:hAnsi="Verdana" w:cs="Arial"/>
          <w:b/>
          <w:bCs/>
          <w:sz w:val="20"/>
        </w:rPr>
        <w:t>Accreditatiekosten</w:t>
      </w:r>
    </w:p>
    <w:p w:rsidR="004B4D59" w:rsidRDefault="004B4D59" w:rsidP="004B4D59">
      <w:pPr>
        <w:ind w:left="709"/>
        <w:jc w:val="both"/>
        <w:rPr>
          <w:rFonts w:ascii="Verdana" w:hAnsi="Verdana" w:cs="Arial"/>
          <w:bCs/>
          <w:sz w:val="20"/>
        </w:rPr>
      </w:pPr>
      <w:r>
        <w:rPr>
          <w:rFonts w:ascii="Verdana" w:hAnsi="Verdana" w:cs="Arial"/>
          <w:bCs/>
          <w:sz w:val="20"/>
        </w:rPr>
        <w:t>Een onderdeel voor herregistratie vormen de FTO/IT bijeenkomsten. Het WDH (IA-bureau) faciliteert de Perifere Accredi</w:t>
      </w:r>
      <w:r w:rsidR="00E2148B">
        <w:rPr>
          <w:rFonts w:ascii="Verdana" w:hAnsi="Verdana" w:cs="Arial"/>
          <w:bCs/>
          <w:sz w:val="20"/>
        </w:rPr>
        <w:t>t</w:t>
      </w:r>
      <w:bookmarkStart w:id="0" w:name="_GoBack"/>
      <w:bookmarkEnd w:id="0"/>
      <w:r>
        <w:rPr>
          <w:rFonts w:ascii="Verdana" w:hAnsi="Verdana" w:cs="Arial"/>
          <w:bCs/>
          <w:sz w:val="20"/>
        </w:rPr>
        <w:t xml:space="preserve">atie Medewerker (PAM), die als verlengde arm van het </w:t>
      </w:r>
      <w:proofErr w:type="spellStart"/>
      <w:r>
        <w:rPr>
          <w:rFonts w:ascii="Verdana" w:hAnsi="Verdana" w:cs="Arial"/>
          <w:bCs/>
          <w:sz w:val="20"/>
        </w:rPr>
        <w:t>CvAH</w:t>
      </w:r>
      <w:proofErr w:type="spellEnd"/>
      <w:r>
        <w:rPr>
          <w:rFonts w:ascii="Verdana" w:hAnsi="Verdana" w:cs="Arial"/>
          <w:bCs/>
          <w:sz w:val="20"/>
        </w:rPr>
        <w:t xml:space="preserve"> de </w:t>
      </w:r>
      <w:proofErr w:type="spellStart"/>
      <w:r>
        <w:rPr>
          <w:rFonts w:ascii="Verdana" w:hAnsi="Verdana" w:cs="Arial"/>
          <w:bCs/>
          <w:sz w:val="20"/>
        </w:rPr>
        <w:t>toetsgroepen</w:t>
      </w:r>
      <w:proofErr w:type="spellEnd"/>
      <w:r>
        <w:rPr>
          <w:rFonts w:ascii="Verdana" w:hAnsi="Verdana" w:cs="Arial"/>
          <w:bCs/>
          <w:sz w:val="20"/>
        </w:rPr>
        <w:t xml:space="preserve"> en verder de door derden aangeleverde scholing accrediteert. De huisvesting en salariskosten voor de PAM worden door de WDH opgebracht. </w:t>
      </w:r>
    </w:p>
    <w:p w:rsidR="004B4D59" w:rsidRPr="0003076E" w:rsidRDefault="004B4D59" w:rsidP="004B4D59">
      <w:pPr>
        <w:numPr>
          <w:ilvl w:val="0"/>
          <w:numId w:val="1"/>
        </w:numPr>
        <w:ind w:left="709" w:hanging="283"/>
        <w:jc w:val="both"/>
        <w:rPr>
          <w:rFonts w:ascii="Verdana" w:hAnsi="Verdana" w:cs="Arial"/>
          <w:b/>
          <w:bCs/>
          <w:sz w:val="20"/>
        </w:rPr>
      </w:pPr>
      <w:r w:rsidRPr="0003076E">
        <w:rPr>
          <w:rFonts w:ascii="Verdana" w:hAnsi="Verdana" w:cs="Arial"/>
          <w:b/>
          <w:bCs/>
          <w:sz w:val="20"/>
        </w:rPr>
        <w:t>Sponsoring</w:t>
      </w:r>
    </w:p>
    <w:p w:rsidR="004B4D59" w:rsidRDefault="004B4D59" w:rsidP="004B4D59">
      <w:pPr>
        <w:ind w:left="709"/>
        <w:jc w:val="both"/>
        <w:rPr>
          <w:rFonts w:ascii="Verdana" w:hAnsi="Verdana" w:cs="Arial"/>
          <w:bCs/>
          <w:sz w:val="20"/>
        </w:rPr>
      </w:pPr>
      <w:r>
        <w:rPr>
          <w:rFonts w:ascii="Verdana" w:hAnsi="Verdana" w:cs="Arial"/>
          <w:bCs/>
          <w:sz w:val="20"/>
        </w:rPr>
        <w:t xml:space="preserve">Er is een duidelijke landelijke tendens om scholing steeds minder afhankelijk te laten worden van sponsoring. Ook in onze regio proberen we aan te haken bij deze landelijke stroming. Dit heeft uiteraard consequenties voor de inkomsten. Afname van sponsoring zal om die reden dan ook ten laste moeten komen van de contributie. </w:t>
      </w:r>
    </w:p>
    <w:p w:rsidR="004B4D59" w:rsidRPr="0003076E" w:rsidRDefault="004B4D59" w:rsidP="004B4D59">
      <w:pPr>
        <w:numPr>
          <w:ilvl w:val="0"/>
          <w:numId w:val="1"/>
        </w:numPr>
        <w:ind w:left="709" w:hanging="283"/>
        <w:jc w:val="both"/>
        <w:rPr>
          <w:rFonts w:ascii="Verdana" w:hAnsi="Verdana" w:cs="Arial"/>
          <w:b/>
          <w:bCs/>
          <w:sz w:val="20"/>
        </w:rPr>
      </w:pPr>
      <w:r w:rsidRPr="0003076E">
        <w:rPr>
          <w:rFonts w:ascii="Verdana" w:hAnsi="Verdana" w:cs="Arial"/>
          <w:b/>
          <w:bCs/>
          <w:sz w:val="20"/>
        </w:rPr>
        <w:t xml:space="preserve">Overige kosten: </w:t>
      </w:r>
    </w:p>
    <w:p w:rsidR="004B4D59" w:rsidRPr="008A3692" w:rsidRDefault="004B4D59" w:rsidP="004B4D59">
      <w:pPr>
        <w:ind w:left="709"/>
        <w:jc w:val="both"/>
        <w:rPr>
          <w:rFonts w:ascii="Verdana" w:hAnsi="Verdana" w:cs="Arial"/>
          <w:bCs/>
          <w:sz w:val="20"/>
        </w:rPr>
      </w:pPr>
      <w:r>
        <w:rPr>
          <w:rFonts w:ascii="Verdana" w:hAnsi="Verdana" w:cs="Arial"/>
          <w:bCs/>
          <w:sz w:val="20"/>
        </w:rPr>
        <w:t xml:space="preserve">Bestuurskosten, lidmaatschapskosten, KNMG, Kamer van Koophandel, LINKH, CRKBO, visitatiekosten, financiële administratie en accountantskosten. Verdere algemene kosten zoals drukwerk, ICT, website, etc. </w:t>
      </w:r>
    </w:p>
    <w:p w:rsidR="001812BD" w:rsidRDefault="001812BD"/>
    <w:sectPr w:rsidR="001812BD" w:rsidSect="001812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85EFB"/>
    <w:multiLevelType w:val="hybridMultilevel"/>
    <w:tmpl w:val="0D8AD384"/>
    <w:lvl w:ilvl="0" w:tplc="04130001">
      <w:start w:val="1"/>
      <w:numFmt w:val="bullet"/>
      <w:lvlText w:val=""/>
      <w:lvlJc w:val="left"/>
      <w:pPr>
        <w:ind w:left="1407" w:hanging="360"/>
      </w:pPr>
      <w:rPr>
        <w:rFonts w:ascii="Symbol" w:hAnsi="Symbol" w:hint="default"/>
      </w:rPr>
    </w:lvl>
    <w:lvl w:ilvl="1" w:tplc="04130003" w:tentative="1">
      <w:start w:val="1"/>
      <w:numFmt w:val="bullet"/>
      <w:lvlText w:val="o"/>
      <w:lvlJc w:val="left"/>
      <w:pPr>
        <w:ind w:left="2127" w:hanging="360"/>
      </w:pPr>
      <w:rPr>
        <w:rFonts w:ascii="Courier New" w:hAnsi="Courier New" w:cs="Courier New" w:hint="default"/>
      </w:rPr>
    </w:lvl>
    <w:lvl w:ilvl="2" w:tplc="04130005" w:tentative="1">
      <w:start w:val="1"/>
      <w:numFmt w:val="bullet"/>
      <w:lvlText w:val=""/>
      <w:lvlJc w:val="left"/>
      <w:pPr>
        <w:ind w:left="2847" w:hanging="360"/>
      </w:pPr>
      <w:rPr>
        <w:rFonts w:ascii="Wingdings" w:hAnsi="Wingdings" w:hint="default"/>
      </w:rPr>
    </w:lvl>
    <w:lvl w:ilvl="3" w:tplc="04130001" w:tentative="1">
      <w:start w:val="1"/>
      <w:numFmt w:val="bullet"/>
      <w:lvlText w:val=""/>
      <w:lvlJc w:val="left"/>
      <w:pPr>
        <w:ind w:left="3567" w:hanging="360"/>
      </w:pPr>
      <w:rPr>
        <w:rFonts w:ascii="Symbol" w:hAnsi="Symbol" w:hint="default"/>
      </w:rPr>
    </w:lvl>
    <w:lvl w:ilvl="4" w:tplc="04130003" w:tentative="1">
      <w:start w:val="1"/>
      <w:numFmt w:val="bullet"/>
      <w:lvlText w:val="o"/>
      <w:lvlJc w:val="left"/>
      <w:pPr>
        <w:ind w:left="4287" w:hanging="360"/>
      </w:pPr>
      <w:rPr>
        <w:rFonts w:ascii="Courier New" w:hAnsi="Courier New" w:cs="Courier New" w:hint="default"/>
      </w:rPr>
    </w:lvl>
    <w:lvl w:ilvl="5" w:tplc="04130005" w:tentative="1">
      <w:start w:val="1"/>
      <w:numFmt w:val="bullet"/>
      <w:lvlText w:val=""/>
      <w:lvlJc w:val="left"/>
      <w:pPr>
        <w:ind w:left="5007" w:hanging="360"/>
      </w:pPr>
      <w:rPr>
        <w:rFonts w:ascii="Wingdings" w:hAnsi="Wingdings" w:hint="default"/>
      </w:rPr>
    </w:lvl>
    <w:lvl w:ilvl="6" w:tplc="04130001" w:tentative="1">
      <w:start w:val="1"/>
      <w:numFmt w:val="bullet"/>
      <w:lvlText w:val=""/>
      <w:lvlJc w:val="left"/>
      <w:pPr>
        <w:ind w:left="5727" w:hanging="360"/>
      </w:pPr>
      <w:rPr>
        <w:rFonts w:ascii="Symbol" w:hAnsi="Symbol" w:hint="default"/>
      </w:rPr>
    </w:lvl>
    <w:lvl w:ilvl="7" w:tplc="04130003" w:tentative="1">
      <w:start w:val="1"/>
      <w:numFmt w:val="bullet"/>
      <w:lvlText w:val="o"/>
      <w:lvlJc w:val="left"/>
      <w:pPr>
        <w:ind w:left="6447" w:hanging="360"/>
      </w:pPr>
      <w:rPr>
        <w:rFonts w:ascii="Courier New" w:hAnsi="Courier New" w:cs="Courier New" w:hint="default"/>
      </w:rPr>
    </w:lvl>
    <w:lvl w:ilvl="8" w:tplc="04130005" w:tentative="1">
      <w:start w:val="1"/>
      <w:numFmt w:val="bullet"/>
      <w:lvlText w:val=""/>
      <w:lvlJc w:val="left"/>
      <w:pPr>
        <w:ind w:left="71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D59"/>
    <w:rsid w:val="001812BD"/>
    <w:rsid w:val="00430B69"/>
    <w:rsid w:val="004B4D59"/>
    <w:rsid w:val="00577DDC"/>
    <w:rsid w:val="00907A19"/>
    <w:rsid w:val="00E2148B"/>
    <w:rsid w:val="00FD00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4D59"/>
    <w:rPr>
      <w:rFonts w:ascii="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B4D59"/>
    <w:rPr>
      <w:rFonts w:ascii="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C6F88FB9</Template>
  <TotalTime>0</TotalTime>
  <Pages>1</Pages>
  <Words>225</Words>
  <Characters>1393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Jeroen Bosch Ziekenhuis</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Wolbert, Anita</dc:creator>
  <cp:lastModifiedBy>Wolbert, Anita</cp:lastModifiedBy>
  <cp:revision>2</cp:revision>
  <dcterms:created xsi:type="dcterms:W3CDTF">2019-03-13T08:01:00Z</dcterms:created>
  <dcterms:modified xsi:type="dcterms:W3CDTF">2019-03-13T08:01:00Z</dcterms:modified>
</cp:coreProperties>
</file>